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ind w:left="2550"/>
        <w:spacing w:before="277" w:line="230" w:lineRule="auto"/>
        <w:outlineLvl w:val="0"/>
        <w:rPr>
          <w:rFonts w:ascii="STXingkai" w:hAnsi="STXingkai" w:eastAsia="STXingkai" w:cs="STXingkai"/>
          <w:sz w:val="81"/>
          <w:szCs w:val="8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-782394</wp:posOffset>
            </wp:positionV>
            <wp:extent cx="7550152" cy="1068070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0152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Xingkai" w:hAnsi="STXingkai" w:eastAsia="STXingkai" w:cs="STXingkai"/>
          <w:sz w:val="81"/>
          <w:szCs w:val="81"/>
          <w:spacing w:val="86"/>
        </w:rPr>
        <w:t>浙江制造认证证书</w:t>
      </w:r>
    </w:p>
    <w:p>
      <w:pPr>
        <w:ind w:left="3409"/>
        <w:spacing w:before="1" w:line="220" w:lineRule="auto"/>
        <w:rPr>
          <w:rFonts w:ascii="Arial" w:hAnsi="Arial" w:eastAsia="Arial" w:cs="Arial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12"/>
        </w:rPr>
        <w:t>证</w:t>
      </w:r>
      <w:r>
        <w:rPr>
          <w:rFonts w:ascii="SimHei" w:hAnsi="SimHei" w:eastAsia="SimHei" w:cs="SimHei"/>
          <w:sz w:val="30"/>
          <w:szCs w:val="30"/>
          <w:spacing w:val="-39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-12"/>
        </w:rPr>
        <w:t>书</w:t>
      </w:r>
      <w:r>
        <w:rPr>
          <w:rFonts w:ascii="SimHei" w:hAnsi="SimHei" w:eastAsia="SimHei" w:cs="SimHei"/>
          <w:sz w:val="30"/>
          <w:szCs w:val="30"/>
          <w:spacing w:val="-57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-12"/>
        </w:rPr>
        <w:t>编</w:t>
      </w:r>
      <w:r>
        <w:rPr>
          <w:rFonts w:ascii="SimHei" w:hAnsi="SimHei" w:eastAsia="SimHei" w:cs="SimHei"/>
          <w:sz w:val="30"/>
          <w:szCs w:val="30"/>
          <w:spacing w:val="-48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-12"/>
        </w:rPr>
        <w:t>号</w:t>
      </w:r>
      <w:r>
        <w:rPr>
          <w:rFonts w:ascii="SimHei" w:hAnsi="SimHei" w:eastAsia="SimHei" w:cs="SimHei"/>
          <w:sz w:val="30"/>
          <w:szCs w:val="30"/>
          <w:spacing w:val="-66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-12"/>
        </w:rPr>
        <w:t>：</w:t>
      </w:r>
      <w:r>
        <w:rPr>
          <w:rFonts w:ascii="Arial" w:hAnsi="Arial" w:eastAsia="Arial" w:cs="Arial"/>
          <w:sz w:val="30"/>
          <w:szCs w:val="30"/>
          <w:spacing w:val="-12"/>
        </w:rPr>
        <w:t>CZJM2026P1007301ROS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83"/>
        <w:spacing w:before="74" w:line="219" w:lineRule="auto"/>
        <w:rPr/>
      </w:pPr>
      <w:r>
        <w:rPr>
          <w:b/>
          <w:bCs/>
          <w:spacing w:val="28"/>
        </w:rPr>
        <w:t>认证委托人：宁波灵象电器有限公司</w:t>
      </w:r>
    </w:p>
    <w:p>
      <w:pPr>
        <w:pStyle w:val="BodyText"/>
        <w:ind w:left="1583"/>
        <w:spacing w:before="188" w:line="219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23"/>
        </w:rPr>
        <w:t>地址：浙江省宁波市象山县西周镇汇川路55号25幢</w:t>
      </w:r>
    </w:p>
    <w:p>
      <w:pPr>
        <w:pStyle w:val="BodyText"/>
        <w:ind w:left="1583"/>
        <w:spacing w:before="216" w:line="219" w:lineRule="auto"/>
        <w:rPr/>
      </w:pPr>
      <w:r>
        <w:rPr>
          <w:b/>
          <w:bCs/>
          <w:spacing w:val="26"/>
        </w:rPr>
        <w:t>产品生产者：宁波灵象电器有限公司</w:t>
      </w:r>
    </w:p>
    <w:p>
      <w:pPr>
        <w:pStyle w:val="BodyText"/>
        <w:ind w:left="1583"/>
        <w:spacing w:before="199" w:line="219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23"/>
        </w:rPr>
        <w:t>地址：浙江省宁波市象山县西周镇汇川路55号25幢</w:t>
      </w:r>
    </w:p>
    <w:p>
      <w:pPr>
        <w:pStyle w:val="BodyText"/>
        <w:ind w:left="1583"/>
        <w:spacing w:before="216" w:line="219" w:lineRule="auto"/>
        <w:rPr/>
      </w:pPr>
      <w:r>
        <w:rPr>
          <w:b/>
          <w:bCs/>
          <w:spacing w:val="27"/>
        </w:rPr>
        <w:t>生产企业：宁波灵象电器有限公司</w:t>
      </w:r>
    </w:p>
    <w:p>
      <w:pPr>
        <w:pStyle w:val="BodyText"/>
        <w:ind w:left="1583"/>
        <w:spacing w:before="189" w:line="219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23"/>
        </w:rPr>
        <w:t>地址：浙江省宁波市象山县西周镇汇川路55号25幢</w:t>
      </w:r>
    </w:p>
    <w:p>
      <w:pPr>
        <w:pStyle w:val="BodyText"/>
        <w:ind w:left="1579"/>
        <w:spacing w:before="253" w:line="212" w:lineRule="auto"/>
        <w:rPr/>
      </w:pPr>
      <w:r>
        <w:rPr>
          <w:spacing w:val="6"/>
        </w:rPr>
        <w:t>认证标准：</w:t>
      </w:r>
      <w:r>
        <w:rPr>
          <w:rFonts w:ascii="Times New Roman" w:hAnsi="Times New Roman" w:eastAsia="Times New Roman" w:cs="Times New Roman"/>
        </w:rPr>
        <w:t>DB</w:t>
      </w:r>
      <w:r>
        <w:rPr>
          <w:rFonts w:ascii="Times New Roman" w:hAnsi="Times New Roman" w:eastAsia="Times New Roman" w:cs="Times New Roman"/>
          <w:spacing w:val="6"/>
        </w:rPr>
        <w:t>33/T944.2-2017,T/</w:t>
      </w:r>
      <w:r>
        <w:rPr>
          <w:rFonts w:ascii="Times New Roman" w:hAnsi="Times New Roman" w:eastAsia="Times New Roman" w:cs="Times New Roman"/>
        </w:rPr>
        <w:t>ZZB</w:t>
      </w:r>
      <w:r>
        <w:rPr>
          <w:rFonts w:ascii="Times New Roman" w:hAnsi="Times New Roman" w:eastAsia="Times New Roman" w:cs="Times New Roman"/>
          <w:spacing w:val="6"/>
        </w:rPr>
        <w:t>0203—2017            </w:t>
      </w:r>
      <w:r>
        <w:rPr>
          <w:rFonts w:ascii="Times New Roman" w:hAnsi="Times New Roman" w:eastAsia="Times New Roman" w:cs="Times New Roman"/>
          <w:spacing w:val="5"/>
        </w:rPr>
        <w:t xml:space="preserve"> ( </w:t>
      </w:r>
      <w:r>
        <w:rPr>
          <w:spacing w:val="5"/>
        </w:rPr>
        <w:t>产品执行标准)</w:t>
      </w:r>
    </w:p>
    <w:p>
      <w:pPr>
        <w:pStyle w:val="BodyText"/>
        <w:ind w:left="1579"/>
        <w:spacing w:before="152" w:line="219" w:lineRule="auto"/>
        <w:rPr/>
      </w:pPr>
      <w:r>
        <w:rPr>
          <w:spacing w:val="13"/>
        </w:rPr>
        <w:t>认证模式：产品检验+初始工厂检查+获证后监督</w:t>
      </w:r>
    </w:p>
    <w:p>
      <w:pPr>
        <w:pStyle w:val="BodyText"/>
        <w:ind w:left="1579"/>
        <w:spacing w:before="96" w:line="219" w:lineRule="auto"/>
        <w:rPr/>
      </w:pPr>
      <w:r>
        <w:rPr>
          <w:spacing w:val="20"/>
        </w:rPr>
        <w:t>认证单元：家用和类似用途固定式电气装置的跷板开关(仅限出口)</w:t>
      </w:r>
    </w:p>
    <w:p>
      <w:pPr>
        <w:pStyle w:val="BodyText"/>
        <w:ind w:left="1579"/>
        <w:spacing w:before="117" w:line="219" w:lineRule="auto"/>
        <w:rPr/>
      </w:pPr>
      <w:r>
        <w:rPr>
          <w:spacing w:val="18"/>
        </w:rPr>
        <w:t>产品名称：家用和类似用途固定式电气装置</w:t>
      </w:r>
      <w:r>
        <w:rPr>
          <w:spacing w:val="17"/>
        </w:rPr>
        <w:t>的跷板开关(仅限出口)</w:t>
      </w:r>
    </w:p>
    <w:p>
      <w:pPr>
        <w:pStyle w:val="BodyText"/>
        <w:ind w:left="1583"/>
        <w:spacing w:before="136" w:line="219" w:lineRule="auto"/>
        <w:rPr>
          <w:rFonts w:ascii="Times New Roman" w:hAnsi="Times New Roman" w:eastAsia="Times New Roman" w:cs="Times New Roman"/>
        </w:rPr>
      </w:pPr>
      <w:r>
        <w:rPr>
          <w:b/>
          <w:bCs/>
          <w:spacing w:val="-24"/>
        </w:rPr>
        <w:t>型</w:t>
      </w:r>
      <w:r>
        <w:rPr>
          <w:spacing w:val="-38"/>
        </w:rPr>
        <w:t xml:space="preserve"> </w:t>
      </w:r>
      <w:r>
        <w:rPr>
          <w:b/>
          <w:bCs/>
          <w:spacing w:val="-24"/>
        </w:rPr>
        <w:t>号</w:t>
      </w:r>
      <w:r>
        <w:rPr>
          <w:spacing w:val="-48"/>
        </w:rPr>
        <w:t xml:space="preserve"> </w:t>
      </w:r>
      <w:r>
        <w:rPr>
          <w:b/>
          <w:bCs/>
          <w:spacing w:val="-24"/>
        </w:rPr>
        <w:t>规</w:t>
      </w:r>
      <w:r>
        <w:rPr>
          <w:spacing w:val="-49"/>
        </w:rPr>
        <w:t xml:space="preserve"> </w:t>
      </w:r>
      <w:r>
        <w:rPr>
          <w:b/>
          <w:bCs/>
          <w:spacing w:val="-24"/>
        </w:rPr>
        <w:t>格</w:t>
      </w:r>
      <w:r>
        <w:rPr>
          <w:spacing w:val="-58"/>
        </w:rPr>
        <w:t xml:space="preserve"> </w:t>
      </w:r>
      <w:r>
        <w:rPr>
          <w:b/>
          <w:bCs/>
          <w:spacing w:val="-24"/>
        </w:rPr>
        <w:t>：</w:t>
      </w:r>
      <w:r>
        <w:rPr>
          <w:rFonts w:ascii="Times New Roman" w:hAnsi="Times New Roman" w:eastAsia="Times New Roman" w:cs="Times New Roman"/>
          <w:spacing w:val="-24"/>
        </w:rPr>
        <w:t>T3022</w:t>
      </w:r>
    </w:p>
    <w:p>
      <w:pPr>
        <w:pStyle w:val="BodyText"/>
        <w:ind w:left="1579" w:right="1168" w:firstLine="410"/>
        <w:spacing w:before="142" w:line="254" w:lineRule="auto"/>
        <w:rPr>
          <w:rFonts w:ascii="KaiTi" w:hAnsi="KaiTi" w:eastAsia="KaiTi" w:cs="KaiTi"/>
          <w:sz w:val="19"/>
          <w:szCs w:val="19"/>
        </w:rPr>
      </w:pPr>
      <w:r>
        <w:rPr>
          <w:rFonts w:ascii="KaiTi" w:hAnsi="KaiTi" w:eastAsia="KaiTi" w:cs="KaiTi"/>
          <w:sz w:val="19"/>
          <w:szCs w:val="19"/>
          <w:spacing w:val="9"/>
        </w:rPr>
        <w:t>以上产品符合“浙江制造”认证实施细则</w:t>
      </w:r>
      <w:r>
        <w:rPr>
          <w:rFonts w:ascii="KaiTi" w:hAnsi="KaiTi" w:eastAsia="KaiTi" w:cs="KaiTi"/>
          <w:sz w:val="19"/>
          <w:szCs w:val="19"/>
          <w:spacing w:val="-52"/>
        </w:rPr>
        <w:t xml:space="preserve"> </w:t>
      </w:r>
      <w:r>
        <w:rPr>
          <w:rFonts w:ascii="KaiTi" w:hAnsi="KaiTi" w:eastAsia="KaiTi" w:cs="KaiTi"/>
          <w:sz w:val="19"/>
          <w:szCs w:val="19"/>
          <w:spacing w:val="9"/>
        </w:rPr>
        <w:t>—</w:t>
      </w:r>
      <w:r>
        <w:rPr>
          <w:rFonts w:ascii="Times New Roman" w:hAnsi="Times New Roman" w:eastAsia="Times New Roman" w:cs="Times New Roman"/>
          <w:sz w:val="19"/>
          <w:szCs w:val="19"/>
        </w:rPr>
        <w:t>ZJM</w:t>
      </w:r>
      <w:r>
        <w:rPr>
          <w:rFonts w:ascii="Times New Roman" w:hAnsi="Times New Roman" w:eastAsia="Times New Roman" w:cs="Times New Roman"/>
          <w:sz w:val="19"/>
          <w:szCs w:val="19"/>
          <w:spacing w:val="9"/>
        </w:rPr>
        <w:t>-002-4654-2025A</w:t>
      </w:r>
      <w:r>
        <w:rPr>
          <w:sz w:val="19"/>
          <w:szCs w:val="19"/>
          <w:spacing w:val="9"/>
        </w:rPr>
        <w:t>《    </w:t>
      </w:r>
      <w:r>
        <w:rPr>
          <w:rFonts w:ascii="KaiTi" w:hAnsi="KaiTi" w:eastAsia="KaiTi" w:cs="KaiTi"/>
          <w:sz w:val="19"/>
          <w:szCs w:val="19"/>
          <w:spacing w:val="9"/>
        </w:rPr>
        <w:t>家</w:t>
      </w:r>
      <w:r>
        <w:rPr>
          <w:rFonts w:ascii="KaiTi" w:hAnsi="KaiTi" w:eastAsia="KaiTi" w:cs="KaiTi"/>
          <w:sz w:val="19"/>
          <w:szCs w:val="19"/>
          <w:spacing w:val="-11"/>
        </w:rPr>
        <w:t xml:space="preserve"> </w:t>
      </w:r>
      <w:r>
        <w:rPr>
          <w:rFonts w:ascii="KaiTi" w:hAnsi="KaiTi" w:eastAsia="KaiTi" w:cs="KaiTi"/>
          <w:sz w:val="19"/>
          <w:szCs w:val="19"/>
          <w:spacing w:val="9"/>
        </w:rPr>
        <w:t>用</w:t>
      </w:r>
      <w:r>
        <w:rPr>
          <w:rFonts w:ascii="KaiTi" w:hAnsi="KaiTi" w:eastAsia="KaiTi" w:cs="KaiTi"/>
          <w:sz w:val="19"/>
          <w:szCs w:val="19"/>
          <w:spacing w:val="-27"/>
        </w:rPr>
        <w:t xml:space="preserve"> </w:t>
      </w:r>
      <w:r>
        <w:rPr>
          <w:rFonts w:ascii="KaiTi" w:hAnsi="KaiTi" w:eastAsia="KaiTi" w:cs="KaiTi"/>
          <w:sz w:val="19"/>
          <w:szCs w:val="19"/>
          <w:spacing w:val="9"/>
        </w:rPr>
        <w:t>和</w:t>
      </w:r>
      <w:r>
        <w:rPr>
          <w:rFonts w:ascii="KaiTi" w:hAnsi="KaiTi" w:eastAsia="KaiTi" w:cs="KaiTi"/>
          <w:sz w:val="19"/>
          <w:szCs w:val="19"/>
          <w:spacing w:val="-13"/>
        </w:rPr>
        <w:t xml:space="preserve"> </w:t>
      </w:r>
      <w:r>
        <w:rPr>
          <w:rFonts w:ascii="KaiTi" w:hAnsi="KaiTi" w:eastAsia="KaiTi" w:cs="KaiTi"/>
          <w:sz w:val="19"/>
          <w:szCs w:val="19"/>
          <w:spacing w:val="9"/>
        </w:rPr>
        <w:t>类</w:t>
      </w:r>
      <w:r>
        <w:rPr>
          <w:rFonts w:ascii="KaiTi" w:hAnsi="KaiTi" w:eastAsia="KaiTi" w:cs="KaiTi"/>
          <w:sz w:val="19"/>
          <w:szCs w:val="19"/>
          <w:spacing w:val="-28"/>
        </w:rPr>
        <w:t xml:space="preserve"> </w:t>
      </w:r>
      <w:r>
        <w:rPr>
          <w:rFonts w:ascii="KaiTi" w:hAnsi="KaiTi" w:eastAsia="KaiTi" w:cs="KaiTi"/>
          <w:sz w:val="19"/>
          <w:szCs w:val="19"/>
          <w:spacing w:val="9"/>
        </w:rPr>
        <w:t>似</w:t>
      </w:r>
      <w:r>
        <w:rPr>
          <w:rFonts w:ascii="KaiTi" w:hAnsi="KaiTi" w:eastAsia="KaiTi" w:cs="KaiTi"/>
          <w:sz w:val="19"/>
          <w:szCs w:val="19"/>
          <w:spacing w:val="-11"/>
        </w:rPr>
        <w:t xml:space="preserve"> </w:t>
      </w:r>
      <w:r>
        <w:rPr>
          <w:rFonts w:ascii="KaiTi" w:hAnsi="KaiTi" w:eastAsia="KaiTi" w:cs="KaiTi"/>
          <w:sz w:val="19"/>
          <w:szCs w:val="19"/>
          <w:spacing w:val="9"/>
        </w:rPr>
        <w:t>用</w:t>
      </w:r>
      <w:r>
        <w:rPr>
          <w:rFonts w:ascii="KaiTi" w:hAnsi="KaiTi" w:eastAsia="KaiTi" w:cs="KaiTi"/>
          <w:sz w:val="19"/>
          <w:szCs w:val="19"/>
          <w:spacing w:val="-29"/>
        </w:rPr>
        <w:t xml:space="preserve"> </w:t>
      </w:r>
      <w:r>
        <w:rPr>
          <w:rFonts w:ascii="KaiTi" w:hAnsi="KaiTi" w:eastAsia="KaiTi" w:cs="KaiTi"/>
          <w:sz w:val="19"/>
          <w:szCs w:val="19"/>
          <w:spacing w:val="9"/>
        </w:rPr>
        <w:t>途</w:t>
      </w:r>
      <w:r>
        <w:rPr>
          <w:rFonts w:ascii="KaiTi" w:hAnsi="KaiTi" w:eastAsia="KaiTi" w:cs="KaiTi"/>
          <w:sz w:val="19"/>
          <w:szCs w:val="19"/>
          <w:spacing w:val="9"/>
        </w:rPr>
        <w:t xml:space="preserve"> </w:t>
      </w:r>
      <w:r>
        <w:rPr>
          <w:rFonts w:ascii="KaiTi" w:hAnsi="KaiTi" w:eastAsia="KaiTi" w:cs="KaiTi"/>
          <w:sz w:val="19"/>
          <w:szCs w:val="19"/>
          <w:spacing w:val="9"/>
        </w:rPr>
        <w:t>固</w:t>
      </w:r>
      <w:r>
        <w:rPr>
          <w:rFonts w:ascii="KaiTi" w:hAnsi="KaiTi" w:eastAsia="KaiTi" w:cs="KaiTi"/>
          <w:sz w:val="19"/>
          <w:szCs w:val="19"/>
          <w:spacing w:val="-16"/>
        </w:rPr>
        <w:t xml:space="preserve"> </w:t>
      </w:r>
      <w:r>
        <w:rPr>
          <w:rFonts w:ascii="KaiTi" w:hAnsi="KaiTi" w:eastAsia="KaiTi" w:cs="KaiTi"/>
          <w:sz w:val="19"/>
          <w:szCs w:val="19"/>
          <w:spacing w:val="9"/>
        </w:rPr>
        <w:t>定</w:t>
      </w:r>
      <w:r>
        <w:rPr>
          <w:rFonts w:ascii="KaiTi" w:hAnsi="KaiTi" w:eastAsia="KaiTi" w:cs="KaiTi"/>
          <w:sz w:val="19"/>
          <w:szCs w:val="19"/>
        </w:rPr>
        <w:t xml:space="preserve"> </w:t>
      </w:r>
      <w:r>
        <w:rPr>
          <w:rFonts w:ascii="KaiTi" w:hAnsi="KaiTi" w:eastAsia="KaiTi" w:cs="KaiTi"/>
          <w:sz w:val="19"/>
          <w:szCs w:val="19"/>
          <w:spacing w:val="33"/>
        </w:rPr>
        <w:t>式电气装置的跷板开关》的要求，授权使用如图所示的标志。在证书有</w:t>
      </w:r>
      <w:r>
        <w:rPr>
          <w:rFonts w:ascii="KaiTi" w:hAnsi="KaiTi" w:eastAsia="KaiTi" w:cs="KaiTi"/>
          <w:sz w:val="19"/>
          <w:szCs w:val="19"/>
          <w:spacing w:val="32"/>
        </w:rPr>
        <w:t>效期内，获证组织须按</w:t>
      </w:r>
      <w:r>
        <w:rPr>
          <w:rFonts w:ascii="KaiTi" w:hAnsi="KaiTi" w:eastAsia="KaiTi" w:cs="KaiTi"/>
          <w:sz w:val="19"/>
          <w:szCs w:val="19"/>
        </w:rPr>
        <w:t xml:space="preserve"> </w:t>
      </w:r>
      <w:r>
        <w:rPr>
          <w:rFonts w:ascii="KaiTi" w:hAnsi="KaiTi" w:eastAsia="KaiTi" w:cs="KaiTi"/>
          <w:sz w:val="19"/>
          <w:szCs w:val="19"/>
          <w:spacing w:val="25"/>
        </w:rPr>
        <w:t>规定接受年度监督审核，保持认证资格。证书信息和有效性可登录发证机构网站(</w:t>
      </w:r>
      <w:r>
        <w:rPr>
          <w:rFonts w:ascii="KaiTi" w:hAnsi="KaiTi" w:eastAsia="KaiTi" w:cs="KaiTi"/>
          <w:sz w:val="19"/>
          <w:szCs w:val="19"/>
          <w:spacing w:val="25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www</w:t>
      </w:r>
      <w:r>
        <w:rPr>
          <w:rFonts w:ascii="Times New Roman" w:hAnsi="Times New Roman" w:eastAsia="Times New Roman" w:cs="Times New Roman"/>
          <w:sz w:val="19"/>
          <w:szCs w:val="19"/>
          <w:spacing w:val="25"/>
        </w:rPr>
        <w:t>.</w:t>
      </w:r>
      <w:r>
        <w:rPr>
          <w:rFonts w:ascii="Times New Roman" w:hAnsi="Times New Roman" w:eastAsia="Times New Roman" w:cs="Times New Roman"/>
          <w:sz w:val="19"/>
          <w:szCs w:val="19"/>
        </w:rPr>
        <w:t>wit</w:t>
      </w:r>
      <w:r>
        <w:rPr>
          <w:rFonts w:ascii="Times New Roman" w:hAnsi="Times New Roman" w:eastAsia="Times New Roman" w:cs="Times New Roman"/>
          <w:sz w:val="19"/>
          <w:szCs w:val="19"/>
          <w:spacing w:val="25"/>
        </w:rPr>
        <w:t xml:space="preserve">    </w:t>
      </w:r>
      <w:r>
        <w:rPr>
          <w:sz w:val="19"/>
          <w:szCs w:val="19"/>
          <w:spacing w:val="25"/>
        </w:rPr>
        <w:t>一</w:t>
      </w:r>
      <w:r>
        <w:rPr>
          <w:sz w:val="19"/>
          <w:szCs w:val="19"/>
          <w:spacing w:val="5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z w:val="19"/>
          <w:szCs w:val="19"/>
          <w:spacing w:val="6"/>
        </w:rPr>
        <w:t>.</w:t>
      </w:r>
      <w:r>
        <w:rPr>
          <w:rFonts w:ascii="Times New Roman" w:hAnsi="Times New Roman" w:eastAsia="Times New Roman" w:cs="Times New Roman"/>
          <w:sz w:val="19"/>
          <w:szCs w:val="19"/>
        </w:rPr>
        <w:t>com</w:t>
      </w:r>
      <w:r>
        <w:rPr>
          <w:rFonts w:ascii="Times New Roman" w:hAnsi="Times New Roman" w:eastAsia="Times New Roman" w:cs="Times New Roman"/>
          <w:sz w:val="19"/>
          <w:szCs w:val="19"/>
          <w:spacing w:val="6"/>
        </w:rPr>
        <w:t>)      </w:t>
      </w:r>
      <w:r>
        <w:rPr>
          <w:rFonts w:ascii="KaiTi" w:hAnsi="KaiTi" w:eastAsia="KaiTi" w:cs="KaiTi"/>
          <w:sz w:val="19"/>
          <w:szCs w:val="19"/>
          <w:spacing w:val="6"/>
        </w:rPr>
        <w:t>查验，也可在认监委网站(</w:t>
      </w:r>
      <w:hyperlink w:history="true" r:id="rId3">
        <w:r>
          <w:rPr>
            <w:rFonts w:ascii="Times New Roman" w:hAnsi="Times New Roman" w:eastAsia="Times New Roman" w:cs="Times New Roman"/>
            <w:sz w:val="19"/>
            <w:szCs w:val="19"/>
          </w:rPr>
          <w:t>www</w:t>
        </w:r>
        <w:r>
          <w:rPr>
            <w:rFonts w:ascii="Times New Roman" w:hAnsi="Times New Roman" w:eastAsia="Times New Roman" w:cs="Times New Roman"/>
            <w:sz w:val="19"/>
            <w:szCs w:val="19"/>
            <w:spacing w:val="6"/>
          </w:rPr>
          <w:t>.</w:t>
        </w:r>
        <w:r>
          <w:rPr>
            <w:rFonts w:ascii="Times New Roman" w:hAnsi="Times New Roman" w:eastAsia="Times New Roman" w:cs="Times New Roman"/>
            <w:sz w:val="19"/>
            <w:szCs w:val="19"/>
          </w:rPr>
          <w:t>cnca</w:t>
        </w:r>
        <w:r>
          <w:rPr>
            <w:rFonts w:ascii="Times New Roman" w:hAnsi="Times New Roman" w:eastAsia="Times New Roman" w:cs="Times New Roman"/>
            <w:sz w:val="19"/>
            <w:szCs w:val="19"/>
            <w:spacing w:val="6"/>
          </w:rPr>
          <w:t>.</w:t>
        </w:r>
        <w:r>
          <w:rPr>
            <w:rFonts w:ascii="Times New Roman" w:hAnsi="Times New Roman" w:eastAsia="Times New Roman" w:cs="Times New Roman"/>
            <w:sz w:val="19"/>
            <w:szCs w:val="19"/>
          </w:rPr>
          <w:t>gov</w:t>
        </w:r>
        <w:r>
          <w:rPr>
            <w:rFonts w:ascii="Times New Roman" w:hAnsi="Times New Roman" w:eastAsia="Times New Roman" w:cs="Times New Roman"/>
            <w:sz w:val="19"/>
            <w:szCs w:val="19"/>
            <w:spacing w:val="6"/>
          </w:rPr>
          <w:t>.</w:t>
        </w:r>
        <w:r>
          <w:rPr>
            <w:rFonts w:ascii="Times New Roman" w:hAnsi="Times New Roman" w:eastAsia="Times New Roman" w:cs="Times New Roman"/>
            <w:sz w:val="19"/>
            <w:szCs w:val="19"/>
          </w:rPr>
          <w:t>cn</w:t>
        </w:r>
      </w:hyperlink>
      <w:r>
        <w:rPr>
          <w:rFonts w:ascii="Times New Roman" w:hAnsi="Times New Roman" w:eastAsia="Times New Roman" w:cs="Times New Roman"/>
          <w:sz w:val="19"/>
          <w:szCs w:val="19"/>
          <w:spacing w:val="6"/>
        </w:rPr>
        <w:t>)  </w:t>
      </w:r>
      <w:r>
        <w:rPr>
          <w:rFonts w:ascii="Times New Roman" w:hAnsi="Times New Roman" w:eastAsia="Times New Roman" w:cs="Times New Roman"/>
          <w:sz w:val="19"/>
          <w:szCs w:val="19"/>
          <w:spacing w:val="5"/>
        </w:rPr>
        <w:t xml:space="preserve">   </w:t>
      </w:r>
      <w:r>
        <w:rPr>
          <w:rFonts w:ascii="KaiTi" w:hAnsi="KaiTi" w:eastAsia="KaiTi" w:cs="KaiTi"/>
          <w:sz w:val="19"/>
          <w:szCs w:val="19"/>
          <w:spacing w:val="5"/>
        </w:rPr>
        <w:t>查</w:t>
      </w:r>
      <w:r>
        <w:rPr>
          <w:rFonts w:ascii="KaiTi" w:hAnsi="KaiTi" w:eastAsia="KaiTi" w:cs="KaiTi"/>
          <w:sz w:val="19"/>
          <w:szCs w:val="19"/>
          <w:spacing w:val="-39"/>
        </w:rPr>
        <w:t xml:space="preserve"> </w:t>
      </w:r>
      <w:r>
        <w:rPr>
          <w:rFonts w:ascii="KaiTi" w:hAnsi="KaiTi" w:eastAsia="KaiTi" w:cs="KaiTi"/>
          <w:sz w:val="19"/>
          <w:szCs w:val="19"/>
          <w:spacing w:val="5"/>
        </w:rPr>
        <w:t>询</w:t>
      </w:r>
      <w:r>
        <w:rPr>
          <w:rFonts w:ascii="KaiTi" w:hAnsi="KaiTi" w:eastAsia="KaiTi" w:cs="KaiTi"/>
          <w:sz w:val="19"/>
          <w:szCs w:val="19"/>
          <w:spacing w:val="-45"/>
        </w:rPr>
        <w:t xml:space="preserve"> </w:t>
      </w:r>
      <w:r>
        <w:rPr>
          <w:rFonts w:ascii="KaiTi" w:hAnsi="KaiTi" w:eastAsia="KaiTi" w:cs="KaiTi"/>
          <w:sz w:val="19"/>
          <w:szCs w:val="19"/>
          <w:spacing w:val="5"/>
        </w:rPr>
        <w:t>。</w:t>
      </w:r>
    </w:p>
    <w:p>
      <w:pPr>
        <w:ind w:firstLine="4040"/>
        <w:spacing w:before="83" w:line="1780" w:lineRule="exact"/>
        <w:rPr/>
      </w:pPr>
      <w:r>
        <w:rPr>
          <w:position w:val="-35"/>
        </w:rPr>
        <w:drawing>
          <wp:inline distT="0" distB="0" distL="0" distR="0">
            <wp:extent cx="2571703" cy="113033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71703" cy="113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1990"/>
        <w:spacing w:before="90" w:line="219" w:lineRule="auto"/>
        <w:rPr>
          <w:sz w:val="24"/>
          <w:szCs w:val="24"/>
        </w:rPr>
      </w:pPr>
      <w:r>
        <w:rPr>
          <w:sz w:val="24"/>
          <w:szCs w:val="24"/>
          <w:spacing w:val="5"/>
        </w:rPr>
        <w:t>首次发证日期：2026年06月05日</w:t>
      </w:r>
    </w:p>
    <w:p>
      <w:pPr>
        <w:pStyle w:val="BodyText"/>
        <w:ind w:left="1990"/>
        <w:spacing w:before="193" w:line="219" w:lineRule="auto"/>
        <w:rPr>
          <w:sz w:val="24"/>
          <w:szCs w:val="24"/>
        </w:rPr>
      </w:pPr>
      <w:r>
        <w:rPr>
          <w:sz w:val="24"/>
          <w:szCs w:val="24"/>
          <w:spacing w:val="5"/>
        </w:rPr>
        <w:t>本次发证时间：2026年06月05日</w:t>
      </w:r>
    </w:p>
    <w:p>
      <w:pPr>
        <w:pStyle w:val="BodyText"/>
        <w:ind w:left="1990"/>
        <w:spacing w:before="197" w:line="219" w:lineRule="auto"/>
        <w:rPr>
          <w:sz w:val="24"/>
          <w:szCs w:val="24"/>
        </w:rPr>
      </w:pPr>
      <w:r>
        <w:rPr>
          <w:sz w:val="24"/>
          <w:szCs w:val="24"/>
          <w:spacing w:val="3"/>
        </w:rPr>
        <w:t>有效期至：2032年06月04日</w:t>
      </w:r>
    </w:p>
    <w:p>
      <w:pPr>
        <w:pStyle w:val="BodyText"/>
        <w:ind w:left="2109"/>
        <w:spacing w:before="194" w:line="219" w:lineRule="auto"/>
        <w:rPr>
          <w:sz w:val="24"/>
          <w:szCs w:val="24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1231936</wp:posOffset>
            </wp:positionH>
            <wp:positionV relativeFrom="paragraph">
              <wp:posOffset>104627</wp:posOffset>
            </wp:positionV>
            <wp:extent cx="1511300" cy="1460478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11300" cy="1460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3555387</wp:posOffset>
            </wp:positionH>
            <wp:positionV relativeFrom="paragraph">
              <wp:posOffset>255960</wp:posOffset>
            </wp:positionV>
            <wp:extent cx="1575400" cy="534909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75400" cy="534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spacing w:val="11"/>
        </w:rPr>
        <w:t>(发证机构公章)</w:t>
      </w:r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4390"/>
        <w:spacing w:before="79" w:line="220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签发人：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left="2149"/>
        <w:spacing w:before="75" w:line="219" w:lineRule="auto"/>
        <w:rPr/>
      </w:pPr>
      <w:r>
        <w:pict>
          <v:shape id="_x0000_s2" style="position:absolute;margin-left:311pt;margin-top:-15.2291pt;mso-position-vertical-relative:text;mso-position-horizontal-relative:text;width:213.8pt;height:43.7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 w:right="20" w:firstLine="689"/>
                    <w:spacing w:before="19" w:line="221" w:lineRule="auto"/>
                    <w:rPr/>
                  </w:pPr>
                  <w:r>
                    <w:rPr>
                      <w:spacing w:val="-5"/>
                    </w:rPr>
                    <w:t>浙江省杭州市滨江区江虹路1750号</w:t>
                  </w:r>
                  <w:r>
                    <w:rPr>
                      <w:spacing w:val="4"/>
                    </w:rPr>
                    <w:t xml:space="preserve">  </w:t>
                  </w:r>
                  <w:r>
                    <w:rPr>
                      <w:spacing w:val="-6"/>
                    </w:rPr>
                    <w:t>地址：信雅达国际创意中心1幢1301-1308、</w:t>
                  </w:r>
                </w:p>
                <w:p>
                  <w:pPr>
                    <w:pStyle w:val="BodyText"/>
                    <w:ind w:left="719"/>
                    <w:spacing w:line="227" w:lineRule="auto"/>
                    <w:rPr/>
                  </w:pPr>
                  <w:r>
                    <w:rPr>
                      <w:spacing w:val="-5"/>
                    </w:rPr>
                    <w:t>1401-1402、1405-1408室</w:t>
                  </w:r>
                </w:p>
              </w:txbxContent>
            </v:textbox>
          </v:shape>
        </w:pict>
      </w:r>
      <w:r>
        <w:rPr>
          <w:spacing w:val="18"/>
        </w:rPr>
        <w:t>发证机构：杭州万泰认证有限公司</w:t>
      </w:r>
    </w:p>
    <w:sectPr>
      <w:headerReference w:type="default" r:id="rId1"/>
      <w:pgSz w:w="11900" w:h="16820"/>
      <w:pgMar w:top="400" w:right="9" w:bottom="0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jpeg"/><Relationship Id="rId3" Type="http://schemas.openxmlformats.org/officeDocument/2006/relationships/hyperlink" Target="https://www.cnca.gov.cn" TargetMode="External"/><Relationship Id="rId2" Type="http://schemas.openxmlformats.org/officeDocument/2006/relationships/image" Target="media/image1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2026-09-22T16:59:22Z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2026-09-22T16:59:22</vt:filetime>
  </property>
  <property fmtid="{D5CDD505-2E9C-101B-9397-08002B2CF9AE}" pid="4" name="UsrData">
    <vt:lpwstr>6ab24366a5ae1e001f6f6dadwl</vt:lpwstr>
  </property>
</Properties>
</file>